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:rsidR="004C67E3" w:rsidRPr="00FD55D8" w:rsidRDefault="004C67E3">
          <w:pPr>
            <w:rPr>
              <w:color w:val="000000" w:themeColor="text1"/>
            </w:rPr>
          </w:pPr>
        </w:p>
        <w:p w:rsidR="00B7655D" w:rsidRPr="00421A76" w:rsidRDefault="004C67E3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 w:rsidRPr="00FD55D8">
            <w:rPr>
              <w:b/>
              <w:noProof/>
              <w:color w:val="000000" w:themeColor="text1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Default="00E00670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d’avancement </w:t>
                                </w:r>
                              </w:p>
                              <w:p w:rsidR="00421A76" w:rsidRPr="00421A76" w:rsidRDefault="00421A76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:rsidR="00421A76" w:rsidRPr="00421A76" w:rsidRDefault="00421A76" w:rsidP="00421A7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</w:p>
                              <w:p w:rsidR="00FD55D8" w:rsidRDefault="00A63485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:rsidR="00C86409" w:rsidRPr="00421A76" w:rsidRDefault="00C86409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Exemple CSI 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Default="00E00670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d’avancement </w:t>
                          </w:r>
                        </w:p>
                        <w:p w:rsidR="00421A76" w:rsidRPr="00421A76" w:rsidRDefault="00421A76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:rsidR="00421A76" w:rsidRPr="00421A76" w:rsidRDefault="00421A76" w:rsidP="00421A7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</w:p>
                        <w:p w:rsidR="00FD55D8" w:rsidRDefault="00A63485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:rsidR="00C86409" w:rsidRPr="00421A76" w:rsidRDefault="00C86409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Exemple CSI 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</w:t>
      </w:r>
      <w:bookmarkStart w:id="0" w:name="_GoBack"/>
      <w:bookmarkEnd w:id="0"/>
      <w:r w:rsidR="00F516F8">
        <w:rPr>
          <w:color w:val="000000" w:themeColor="text1"/>
        </w:rPr>
        <w:t>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mis à jour aux membres du comité de suivi individuel</w:t>
      </w:r>
      <w:r w:rsidR="00664E20">
        <w:rPr>
          <w:color w:val="000000" w:themeColor="text1"/>
        </w:rPr>
        <w:t xml:space="preserve">, </w:t>
      </w:r>
      <w:bookmarkStart w:id="1" w:name="_Hlk121395663"/>
      <w:r w:rsidR="005328E5">
        <w:rPr>
          <w:color w:val="000000" w:themeColor="text1"/>
        </w:rPr>
        <w:t xml:space="preserve">sur l’outil </w:t>
      </w:r>
      <w:proofErr w:type="spellStart"/>
      <w:r w:rsidR="005328E5">
        <w:rPr>
          <w:color w:val="000000" w:themeColor="text1"/>
        </w:rPr>
        <w:t>Amethis</w:t>
      </w:r>
      <w:bookmarkEnd w:id="1"/>
      <w:proofErr w:type="spellEnd"/>
      <w:r w:rsidR="00664E20">
        <w:rPr>
          <w:color w:val="000000" w:themeColor="text1"/>
        </w:rPr>
        <w:t>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bookmarkStart w:id="2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</w:t>
      </w:r>
      <w:r w:rsidR="005328E5">
        <w:rPr>
          <w:color w:val="000000" w:themeColor="text1"/>
        </w:rPr>
        <w:t xml:space="preserve">sur l’application </w:t>
      </w:r>
      <w:proofErr w:type="spellStart"/>
      <w:r w:rsidR="005328E5"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End w:id="2"/>
    <w:p w:rsidR="00225498" w:rsidRPr="00225498" w:rsidRDefault="00225498" w:rsidP="00225498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r w:rsidRPr="00225498">
        <w:rPr>
          <w:color w:val="000000" w:themeColor="text1"/>
        </w:rPr>
        <w:fldChar w:fldCharType="begin"/>
      </w:r>
      <w:r w:rsidRPr="00225498">
        <w:rPr>
          <w:color w:val="000000" w:themeColor="text1"/>
        </w:rPr>
        <w:instrText xml:space="preserve"> HYPERLINK "https://amethis.doctorat-bretagneloire.fr/amethis-client" </w:instrText>
      </w:r>
      <w:r w:rsidRPr="00225498"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 w:rsidRPr="00225498">
        <w:rPr>
          <w:color w:val="000000" w:themeColor="text1"/>
        </w:rPr>
        <w:fldChar w:fldCharType="end"/>
      </w:r>
    </w:p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25181" w:rsidRPr="00025181" w:rsidRDefault="00025181" w:rsidP="00025181">
          <w:pPr>
            <w:pStyle w:val="En-ttedetabledesmatires"/>
            <w:jc w:val="center"/>
            <w:rPr>
              <w:sz w:val="28"/>
              <w:szCs w:val="28"/>
            </w:rPr>
          </w:pPr>
          <w:r w:rsidRPr="00025181">
            <w:rPr>
              <w:sz w:val="28"/>
              <w:szCs w:val="28"/>
            </w:rPr>
            <w:t>Sommaire</w:t>
          </w:r>
        </w:p>
        <w:p w:rsidR="003914E3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9490" w:history="1">
            <w:r w:rsidR="003914E3" w:rsidRPr="00892ED7">
              <w:rPr>
                <w:rStyle w:val="Lienhypertexte"/>
                <w:noProof/>
              </w:rPr>
              <w:t>Fiche signalétique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_Toc128409490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2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3914E3" w:rsidRDefault="003C4916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1" w:history="1">
            <w:r w:rsidR="003914E3" w:rsidRPr="00892ED7">
              <w:rPr>
                <w:rStyle w:val="Lienhypertexte"/>
                <w:noProof/>
              </w:rPr>
              <w:t>Rapport d’avancement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_Toc128409491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3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3914E3" w:rsidRDefault="003C4916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2" w:history="1">
            <w:r w:rsidR="003914E3" w:rsidRPr="00892ED7">
              <w:rPr>
                <w:rStyle w:val="Lienhypertexte"/>
                <w:noProof/>
              </w:rPr>
              <w:t>L’autoévaluation des compétences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_Toc128409492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4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3914E3" w:rsidRDefault="003C4916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3" w:history="1">
            <w:r w:rsidR="003914E3" w:rsidRPr="00892ED7">
              <w:rPr>
                <w:rStyle w:val="Lienhypertexte"/>
                <w:noProof/>
              </w:rPr>
              <w:t>Liste des réalisations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_Toc128409493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7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025181" w:rsidRDefault="00025181">
          <w:r>
            <w:rPr>
              <w:b/>
              <w:bCs/>
            </w:rPr>
            <w:fldChar w:fldCharType="end"/>
          </w:r>
        </w:p>
      </w:sdtContent>
    </w:sdt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:rsidR="00EC71C0" w:rsidRPr="003914E3" w:rsidRDefault="00B972EC" w:rsidP="003914E3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3" w:name="_Toc73123396"/>
      <w:bookmarkStart w:id="4" w:name="_Toc74075415"/>
      <w:bookmarkStart w:id="5" w:name="_Toc74075897"/>
      <w:bookmarkStart w:id="6" w:name="_Toc116248697"/>
    </w:p>
    <w:p w:rsidR="00EC71C0" w:rsidRDefault="00EC71C0" w:rsidP="00EC71C0">
      <w:pPr>
        <w:pStyle w:val="Titre1"/>
      </w:pPr>
      <w:bookmarkStart w:id="7" w:name="_Toc128409490"/>
      <w:r w:rsidRPr="00EC71C0">
        <w:lastRenderedPageBreak/>
        <w:t>Fiche signalétique</w:t>
      </w:r>
      <w:bookmarkEnd w:id="7"/>
    </w:p>
    <w:p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C71C0" w:rsidRDefault="00EC71C0" w:rsidP="00025181">
      <w:pPr>
        <w:pStyle w:val="Titre1"/>
      </w:pPr>
    </w:p>
    <w:p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:rsidR="00251038" w:rsidRPr="00025181" w:rsidRDefault="00251038" w:rsidP="00025181">
      <w:pPr>
        <w:pStyle w:val="Titre1"/>
      </w:pPr>
      <w:bookmarkStart w:id="8" w:name="_Toc128409491"/>
      <w:r w:rsidRPr="00025181">
        <w:lastRenderedPageBreak/>
        <w:t>Rapport d’avancement</w:t>
      </w:r>
      <w:bookmarkEnd w:id="8"/>
    </w:p>
    <w:p w:rsidR="00251038" w:rsidRPr="005E76D4" w:rsidRDefault="00251038" w:rsidP="00025181">
      <w:pPr>
        <w:rPr>
          <w:b/>
          <w:i/>
        </w:rPr>
      </w:pPr>
      <w:r w:rsidRPr="005E76D4">
        <w:rPr>
          <w:i/>
        </w:rPr>
        <w:t>Présenter succinctement vos travaux</w:t>
      </w:r>
      <w:r w:rsidR="005E76D4">
        <w:rPr>
          <w:i/>
        </w:rPr>
        <w:t xml:space="preserve"> (à préciser par les écoles doctorales sur les attendus du contenu)</w:t>
      </w:r>
    </w:p>
    <w:p w:rsidR="008F17F7" w:rsidRPr="00025181" w:rsidRDefault="00251038" w:rsidP="008F17F7">
      <w:pPr>
        <w:pStyle w:val="Titre1"/>
      </w:pPr>
      <w:r>
        <w:br w:type="page"/>
      </w:r>
      <w:bookmarkStart w:id="9" w:name="_Toc128409492"/>
      <w:bookmarkStart w:id="10" w:name="_Hlk116245504"/>
      <w:r w:rsidR="008F17F7" w:rsidRPr="00025181">
        <w:lastRenderedPageBreak/>
        <w:t>L’autoévaluation des compétences</w:t>
      </w:r>
      <w:bookmarkEnd w:id="9"/>
    </w:p>
    <w:bookmarkEnd w:id="10"/>
    <w:p w:rsidR="008F17F7" w:rsidRDefault="008F17F7" w:rsidP="008F17F7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attendues des titulaires du diplôme de doctorat est défini par </w:t>
      </w:r>
      <w:hyperlink r:id="rId8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:rsidR="008F17F7" w:rsidRPr="00151D31" w:rsidRDefault="008F17F7" w:rsidP="008F17F7">
      <w:pPr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:rsidR="008F17F7" w:rsidRPr="00025181" w:rsidRDefault="008F17F7" w:rsidP="008F17F7">
      <w:pPr>
        <w:rPr>
          <w:b/>
          <w:color w:val="00B050"/>
        </w:rPr>
      </w:pPr>
      <w:bookmarkStart w:id="11" w:name="_Toc65052140"/>
      <w:bookmarkStart w:id="12" w:name="_Toc65083089"/>
      <w:bookmarkStart w:id="13" w:name="_Toc67865446"/>
      <w:bookmarkStart w:id="14" w:name="_Toc67865522"/>
      <w:bookmarkStart w:id="15" w:name="_Toc67954721"/>
      <w:bookmarkStart w:id="16" w:name="_Toc67954783"/>
      <w:bookmarkStart w:id="17" w:name="_Toc68623714"/>
      <w:bookmarkStart w:id="18" w:name="_Toc69151875"/>
      <w:bookmarkStart w:id="19" w:name="_Toc69152768"/>
      <w:bookmarkStart w:id="20" w:name="_Toc69152836"/>
      <w:bookmarkStart w:id="21" w:name="_Toc69152884"/>
      <w:bookmarkStart w:id="22" w:name="_Toc69301434"/>
      <w:r w:rsidRPr="00025181">
        <w:rPr>
          <w:b/>
          <w:color w:val="00B050"/>
        </w:rPr>
        <w:t>Bloc 1 Conception et élaboration d'une démarche de recherche et développement, d'études et prospective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</w:t>
            </w:r>
          </w:p>
        </w:tc>
      </w:tr>
    </w:tbl>
    <w:p w:rsidR="008F17F7" w:rsidRPr="00151D31" w:rsidRDefault="008F17F7" w:rsidP="008F17F7"/>
    <w:p w:rsidR="008F17F7" w:rsidRPr="00025181" w:rsidRDefault="008F17F7" w:rsidP="008F17F7">
      <w:pPr>
        <w:rPr>
          <w:b/>
          <w:color w:val="00B050"/>
        </w:rPr>
      </w:pPr>
      <w:bookmarkStart w:id="23" w:name="_Toc65052141"/>
      <w:bookmarkStart w:id="24" w:name="_Toc65083090"/>
      <w:bookmarkStart w:id="25" w:name="_Toc67865447"/>
      <w:bookmarkStart w:id="26" w:name="_Toc67865523"/>
      <w:bookmarkStart w:id="27" w:name="_Toc67954722"/>
      <w:bookmarkStart w:id="28" w:name="_Toc67954784"/>
      <w:bookmarkStart w:id="29" w:name="_Toc68623715"/>
      <w:bookmarkStart w:id="30" w:name="_Toc69151876"/>
      <w:bookmarkStart w:id="31" w:name="_Toc69152769"/>
      <w:bookmarkStart w:id="32" w:name="_Toc69152837"/>
      <w:bookmarkStart w:id="33" w:name="_Toc69152885"/>
      <w:bookmarkStart w:id="34" w:name="_Toc69301435"/>
      <w:r w:rsidRPr="00025181">
        <w:rPr>
          <w:b/>
          <w:color w:val="00B050"/>
        </w:rPr>
        <w:t>Bloc 2 Mise en œuvre d'une démarche de recherche et développement, d'études et prospective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lastRenderedPageBreak/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</w:tbl>
    <w:p w:rsidR="008F17F7" w:rsidRPr="002822E3" w:rsidRDefault="008F17F7" w:rsidP="008F17F7">
      <w:pPr>
        <w:spacing w:after="0"/>
        <w:rPr>
          <w:rFonts w:cs="Segoe UI"/>
          <w:i/>
          <w:color w:val="F04B3E"/>
          <w:szCs w:val="22"/>
        </w:rPr>
      </w:pPr>
    </w:p>
    <w:p w:rsidR="008F17F7" w:rsidRPr="00025181" w:rsidRDefault="008F17F7" w:rsidP="008F17F7">
      <w:pPr>
        <w:rPr>
          <w:b/>
          <w:color w:val="00B050"/>
        </w:rPr>
      </w:pPr>
      <w:bookmarkStart w:id="35" w:name="_Toc65052142"/>
      <w:bookmarkStart w:id="36" w:name="_Toc65083091"/>
      <w:bookmarkStart w:id="37" w:name="_Toc67865448"/>
      <w:bookmarkStart w:id="38" w:name="_Toc67865524"/>
      <w:bookmarkStart w:id="39" w:name="_Toc67954723"/>
      <w:bookmarkStart w:id="40" w:name="_Toc67954785"/>
      <w:bookmarkStart w:id="41" w:name="_Toc68623716"/>
      <w:bookmarkStart w:id="42" w:name="_Toc69151877"/>
      <w:bookmarkStart w:id="43" w:name="_Toc69152770"/>
      <w:bookmarkStart w:id="44" w:name="_Toc69152838"/>
      <w:bookmarkStart w:id="45" w:name="_Toc69152886"/>
      <w:bookmarkStart w:id="46" w:name="_Toc69301436"/>
      <w:r w:rsidRPr="00025181">
        <w:rPr>
          <w:b/>
          <w:color w:val="00B050"/>
        </w:rPr>
        <w:t>Bloc 3 Valorisation et transfert des résultats d'une démarche R&amp;D, d'études et prospective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8F17F7" w:rsidRDefault="008F17F7" w:rsidP="008F17F7">
      <w:pPr>
        <w:spacing w:after="0"/>
        <w:rPr>
          <w:rFonts w:cs="Segoe UI"/>
          <w:i/>
          <w:szCs w:val="22"/>
        </w:rPr>
      </w:pPr>
    </w:p>
    <w:p w:rsidR="008F17F7" w:rsidRPr="00025181" w:rsidRDefault="008F17F7" w:rsidP="008F17F7">
      <w:pPr>
        <w:rPr>
          <w:b/>
          <w:color w:val="00B050"/>
        </w:rPr>
      </w:pPr>
      <w:bookmarkStart w:id="47" w:name="_Toc65052143"/>
      <w:bookmarkStart w:id="48" w:name="_Toc65083092"/>
      <w:bookmarkStart w:id="49" w:name="_Toc67865449"/>
      <w:bookmarkStart w:id="50" w:name="_Toc67865525"/>
      <w:bookmarkStart w:id="51" w:name="_Toc67954724"/>
      <w:bookmarkStart w:id="52" w:name="_Toc67954786"/>
      <w:bookmarkStart w:id="53" w:name="_Toc68623717"/>
      <w:bookmarkStart w:id="54" w:name="_Toc69151878"/>
      <w:bookmarkStart w:id="55" w:name="_Toc69152771"/>
      <w:bookmarkStart w:id="56" w:name="_Toc69152839"/>
      <w:bookmarkStart w:id="57" w:name="_Toc69152887"/>
      <w:bookmarkStart w:id="58" w:name="_Toc69301437"/>
      <w:r w:rsidRPr="00025181">
        <w:rPr>
          <w:b/>
          <w:color w:val="00B050"/>
        </w:rPr>
        <w:t>Bloc 4 Veille scientifique et technologique à l'échelle internationale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coopération avec et/ou mobilité dans un laboratoire étranger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8F17F7" w:rsidRPr="00151D31" w:rsidRDefault="008F17F7" w:rsidP="008F17F7">
      <w:pPr>
        <w:spacing w:after="0"/>
        <w:rPr>
          <w:rFonts w:cs="Segoe UI"/>
          <w:i/>
          <w:szCs w:val="22"/>
        </w:rPr>
      </w:pPr>
    </w:p>
    <w:p w:rsidR="008F17F7" w:rsidRPr="00025181" w:rsidRDefault="008F17F7" w:rsidP="008F17F7">
      <w:pPr>
        <w:rPr>
          <w:b/>
          <w:color w:val="00B050"/>
        </w:rPr>
      </w:pPr>
      <w:bookmarkStart w:id="59" w:name="_Toc65052144"/>
      <w:bookmarkStart w:id="60" w:name="_Toc65083093"/>
      <w:bookmarkStart w:id="61" w:name="_Toc67865450"/>
      <w:bookmarkStart w:id="62" w:name="_Toc67865526"/>
      <w:bookmarkStart w:id="63" w:name="_Toc67954725"/>
      <w:bookmarkStart w:id="64" w:name="_Toc67954787"/>
      <w:bookmarkStart w:id="65" w:name="_Toc68623718"/>
      <w:bookmarkStart w:id="66" w:name="_Toc69151879"/>
      <w:bookmarkStart w:id="67" w:name="_Toc69152772"/>
      <w:bookmarkStart w:id="68" w:name="_Toc69152840"/>
      <w:bookmarkStart w:id="69" w:name="_Toc69152888"/>
      <w:bookmarkStart w:id="70" w:name="_Toc69301438"/>
      <w:r w:rsidRPr="00025181">
        <w:rPr>
          <w:b/>
          <w:color w:val="00B050"/>
        </w:rPr>
        <w:t>Bloc 5 Formation et diffusion de la culture scientifique et technique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 déjà publiées ou soumise ou d’une communication en anglais,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8F17F7" w:rsidRDefault="008F17F7" w:rsidP="008F17F7">
      <w:pPr>
        <w:pStyle w:val="Titre3"/>
      </w:pPr>
      <w:bookmarkStart w:id="71" w:name="_Toc65052145"/>
      <w:bookmarkStart w:id="72" w:name="_Toc65083094"/>
      <w:bookmarkStart w:id="73" w:name="_Toc67865451"/>
      <w:bookmarkStart w:id="74" w:name="_Toc67865527"/>
      <w:bookmarkStart w:id="75" w:name="_Toc67954726"/>
      <w:bookmarkStart w:id="76" w:name="_Toc67954788"/>
      <w:bookmarkStart w:id="77" w:name="_Toc68623719"/>
      <w:bookmarkStart w:id="78" w:name="_Toc69151880"/>
      <w:bookmarkStart w:id="79" w:name="_Toc69152773"/>
      <w:bookmarkStart w:id="80" w:name="_Toc69152841"/>
      <w:bookmarkStart w:id="81" w:name="_Toc69152889"/>
      <w:bookmarkStart w:id="82" w:name="_Toc69301439"/>
    </w:p>
    <w:p w:rsidR="008F17F7" w:rsidRPr="00025181" w:rsidRDefault="008F17F7" w:rsidP="008F17F7">
      <w:pPr>
        <w:rPr>
          <w:b/>
          <w:color w:val="00B050"/>
        </w:rPr>
      </w:pPr>
      <w:r w:rsidRPr="00025181">
        <w:rPr>
          <w:b/>
          <w:color w:val="00B050"/>
        </w:rPr>
        <w:t>Bloc 6 Encadrement d'équipes dédiées à des activités de recherche et développement, d'études et prospective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relecture de rapport d’étudiant encadré</w:t>
            </w:r>
          </w:p>
        </w:tc>
      </w:tr>
    </w:tbl>
    <w:p w:rsidR="008F17F7" w:rsidRDefault="008F17F7" w:rsidP="008F17F7">
      <w:pPr>
        <w:rPr>
          <w:b/>
          <w:i/>
          <w:color w:val="63003C"/>
          <w:sz w:val="32"/>
        </w:rPr>
      </w:pPr>
    </w:p>
    <w:p w:rsidR="008F17F7" w:rsidRDefault="008F17F7">
      <w:pPr>
        <w:spacing w:after="160" w:line="259" w:lineRule="auto"/>
        <w:jc w:val="left"/>
        <w:rPr>
          <w:b/>
          <w:i/>
          <w:color w:val="63003C"/>
          <w:sz w:val="32"/>
        </w:rPr>
      </w:pPr>
      <w:r>
        <w:rPr>
          <w:b/>
          <w:i/>
          <w:color w:val="63003C"/>
          <w:sz w:val="32"/>
        </w:rPr>
        <w:br w:type="page"/>
      </w:r>
    </w:p>
    <w:p w:rsidR="008F17F7" w:rsidRDefault="008F17F7" w:rsidP="008F17F7">
      <w:pPr>
        <w:rPr>
          <w:b/>
          <w:i/>
          <w:color w:val="63003C"/>
          <w:sz w:val="32"/>
        </w:rPr>
      </w:pPr>
    </w:p>
    <w:p w:rsidR="009B17F7" w:rsidRPr="005328E5" w:rsidRDefault="009B17F7" w:rsidP="00025181">
      <w:pPr>
        <w:pStyle w:val="Titre1"/>
      </w:pPr>
      <w:bookmarkStart w:id="83" w:name="_Toc128409493"/>
      <w:r>
        <w:t>Liste des réalisations</w:t>
      </w:r>
      <w:bookmarkEnd w:id="83"/>
    </w:p>
    <w:p w:rsidR="00C443E5" w:rsidRDefault="00C443E5" w:rsidP="00025181"/>
    <w:p w:rsidR="009B17F7" w:rsidRPr="00251038" w:rsidRDefault="00C443E5" w:rsidP="00025181">
      <w:pPr>
        <w:rPr>
          <w:b/>
        </w:rPr>
      </w:pPr>
      <w:r>
        <w:t>Listes des réalisations liées à vos travaux de recherche (présentation orale ou écrite en congrès international ou national, présentation en séminaire, ré</w:t>
      </w:r>
      <w:r w:rsidR="00A33CA0">
        <w:t>d</w:t>
      </w:r>
      <w:r>
        <w:t>action de revue, d’article, de chapitre…)</w:t>
      </w:r>
    </w:p>
    <w:p w:rsidR="00251038" w:rsidRDefault="00251038">
      <w:pPr>
        <w:spacing w:after="160" w:line="259" w:lineRule="auto"/>
        <w:jc w:val="left"/>
      </w:pPr>
    </w:p>
    <w:p w:rsidR="009B17F7" w:rsidRDefault="009B17F7">
      <w:pPr>
        <w:spacing w:after="160" w:line="259" w:lineRule="auto"/>
        <w:jc w:val="left"/>
      </w:pPr>
    </w:p>
    <w:p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3"/>
    <w:bookmarkEnd w:id="4"/>
    <w:bookmarkEnd w:id="5"/>
    <w:bookmarkEnd w:id="6"/>
    <w:p w:rsidR="00251038" w:rsidRDefault="00251038" w:rsidP="00151D31">
      <w:pPr>
        <w:pStyle w:val="Titre3"/>
      </w:pPr>
    </w:p>
    <w:sectPr w:rsidR="00251038" w:rsidSect="00DE33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1B" w:rsidRDefault="0064241B" w:rsidP="00C06FD7">
      <w:pPr>
        <w:spacing w:after="0" w:line="240" w:lineRule="auto"/>
      </w:pPr>
      <w:r>
        <w:separator/>
      </w:r>
    </w:p>
  </w:endnote>
  <w:endnote w:type="continuationSeparator" w:id="0">
    <w:p w:rsidR="0064241B" w:rsidRDefault="0064241B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5857866" wp14:editId="0C68B906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8BBF23" wp14:editId="28306F91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0F5082C" wp14:editId="534739E7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5857866" wp14:editId="0C68B906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1B" w:rsidRDefault="0064241B" w:rsidP="00C06FD7">
      <w:pPr>
        <w:spacing w:after="0" w:line="240" w:lineRule="auto"/>
      </w:pPr>
      <w:r>
        <w:separator/>
      </w:r>
    </w:p>
  </w:footnote>
  <w:footnote w:type="continuationSeparator" w:id="0">
    <w:p w:rsidR="0064241B" w:rsidRDefault="0064241B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33" w:rsidRDefault="003C491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2480945" cy="70866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_all_P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33" w:rsidRDefault="003C491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-83820</wp:posOffset>
          </wp:positionV>
          <wp:extent cx="5760720" cy="164528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all_P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E"/>
    <w:rsid w:val="0001495C"/>
    <w:rsid w:val="00025181"/>
    <w:rsid w:val="00040D72"/>
    <w:rsid w:val="00043473"/>
    <w:rsid w:val="000533E4"/>
    <w:rsid w:val="000657A4"/>
    <w:rsid w:val="000F3F58"/>
    <w:rsid w:val="000F6EE3"/>
    <w:rsid w:val="00114533"/>
    <w:rsid w:val="00126D81"/>
    <w:rsid w:val="00130C8E"/>
    <w:rsid w:val="00151D31"/>
    <w:rsid w:val="001769D8"/>
    <w:rsid w:val="00192A2C"/>
    <w:rsid w:val="001C6ADD"/>
    <w:rsid w:val="001E301E"/>
    <w:rsid w:val="001E30FA"/>
    <w:rsid w:val="001F6C22"/>
    <w:rsid w:val="002173C3"/>
    <w:rsid w:val="00225498"/>
    <w:rsid w:val="00251038"/>
    <w:rsid w:val="002822E3"/>
    <w:rsid w:val="002F2137"/>
    <w:rsid w:val="00303529"/>
    <w:rsid w:val="003914E3"/>
    <w:rsid w:val="003C4916"/>
    <w:rsid w:val="003C54FD"/>
    <w:rsid w:val="003F74A8"/>
    <w:rsid w:val="00421A76"/>
    <w:rsid w:val="0049127D"/>
    <w:rsid w:val="004B4381"/>
    <w:rsid w:val="004B6AB5"/>
    <w:rsid w:val="004C67E3"/>
    <w:rsid w:val="0050670B"/>
    <w:rsid w:val="005328E5"/>
    <w:rsid w:val="005461F2"/>
    <w:rsid w:val="00583A3C"/>
    <w:rsid w:val="005910E6"/>
    <w:rsid w:val="00595687"/>
    <w:rsid w:val="005B24F2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72C48"/>
    <w:rsid w:val="00681CED"/>
    <w:rsid w:val="006A30D7"/>
    <w:rsid w:val="006F7B62"/>
    <w:rsid w:val="00723598"/>
    <w:rsid w:val="00733716"/>
    <w:rsid w:val="00773C19"/>
    <w:rsid w:val="007D6A02"/>
    <w:rsid w:val="008479DB"/>
    <w:rsid w:val="00884EE4"/>
    <w:rsid w:val="008F17F7"/>
    <w:rsid w:val="00905401"/>
    <w:rsid w:val="00906FDE"/>
    <w:rsid w:val="0091509E"/>
    <w:rsid w:val="00916B5F"/>
    <w:rsid w:val="00945091"/>
    <w:rsid w:val="00975DDF"/>
    <w:rsid w:val="009A5A02"/>
    <w:rsid w:val="009B17F7"/>
    <w:rsid w:val="009F4679"/>
    <w:rsid w:val="00A224E7"/>
    <w:rsid w:val="00A33CA0"/>
    <w:rsid w:val="00A63485"/>
    <w:rsid w:val="00A7546F"/>
    <w:rsid w:val="00A775C5"/>
    <w:rsid w:val="00AD7EFE"/>
    <w:rsid w:val="00B20DFD"/>
    <w:rsid w:val="00B7655D"/>
    <w:rsid w:val="00B8054F"/>
    <w:rsid w:val="00B972EC"/>
    <w:rsid w:val="00BB26AD"/>
    <w:rsid w:val="00C0202D"/>
    <w:rsid w:val="00C06FD7"/>
    <w:rsid w:val="00C443E5"/>
    <w:rsid w:val="00C50BD9"/>
    <w:rsid w:val="00C86409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20738"/>
    <w:rsid w:val="00E25F8B"/>
    <w:rsid w:val="00E30864"/>
    <w:rsid w:val="00E73149"/>
    <w:rsid w:val="00EA3B2F"/>
    <w:rsid w:val="00EC71C0"/>
    <w:rsid w:val="00F24693"/>
    <w:rsid w:val="00F516F8"/>
    <w:rsid w:val="00F5403B"/>
    <w:rsid w:val="00F65666"/>
    <w:rsid w:val="00FA040A"/>
    <w:rsid w:val="00FA334E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82009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959B-9544-4D1C-BD21-9A8DFFE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BORE Amelia</cp:lastModifiedBy>
  <cp:revision>20</cp:revision>
  <dcterms:created xsi:type="dcterms:W3CDTF">2022-12-08T10:25:00Z</dcterms:created>
  <dcterms:modified xsi:type="dcterms:W3CDTF">2023-02-28T14:47:00Z</dcterms:modified>
</cp:coreProperties>
</file>